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1B7D" w14:textId="7B7212C5" w:rsidR="002A1589" w:rsidRDefault="00EB437A" w:rsidP="004620CA">
      <w:pPr>
        <w:rPr>
          <w:rFonts w:cstheme="minorHAnsi"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C03006" wp14:editId="496D7FF9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330200</wp:posOffset>
                </wp:positionV>
                <wp:extent cx="6753225" cy="27990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79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75B8" w14:textId="77777777" w:rsidR="00EB437A" w:rsidRPr="003553BB" w:rsidRDefault="00EB437A" w:rsidP="00EB437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CF7E6A3" w14:textId="22FC7710" w:rsidR="00EB437A" w:rsidRDefault="009B161C" w:rsidP="00EB437A">
                            <w:r>
                              <w:t xml:space="preserve">This is a Suggested Wording. It is a set of paragraphs you can use to argue to </w:t>
                            </w:r>
                            <w:r w:rsidR="00EB437A">
                              <w:t xml:space="preserve">the </w:t>
                            </w:r>
                            <w:r w:rsidR="008456F6">
                              <w:t>independent review panel</w:t>
                            </w:r>
                            <w:r w:rsidR="00EB437A">
                              <w:t xml:space="preserve"> that the </w:t>
                            </w:r>
                            <w:r w:rsidR="008456F6">
                              <w:t>governors</w:t>
                            </w:r>
                            <w:r w:rsidR="0029286C">
                              <w:t>’</w:t>
                            </w:r>
                            <w:r w:rsidR="008456F6">
                              <w:t xml:space="preserve"> decision </w:t>
                            </w:r>
                            <w:r w:rsidR="00B17637">
                              <w:t xml:space="preserve">was </w:t>
                            </w:r>
                            <w:r w:rsidR="00777308">
                              <w:t xml:space="preserve">procedurally unfair because they </w:t>
                            </w:r>
                            <w:r w:rsidR="004620CA">
                              <w:t>failed to allow enough time for the hearing, or because they failed to give equal time to both parties to speak without interruption.</w:t>
                            </w:r>
                          </w:p>
                          <w:p w14:paraId="0C66EF24" w14:textId="77777777" w:rsidR="009B161C" w:rsidRDefault="009B161C" w:rsidP="009B161C">
                            <w:pPr>
                              <w:rPr>
                                <w:i/>
                                <w:iCs/>
                              </w:rPr>
                            </w:pPr>
                            <w:bookmarkStart w:id="0" w:name="_Hlk24295631"/>
                            <w:bookmarkStart w:id="1" w:name="_Hlk24295632"/>
                            <w:r>
                              <w:t xml:space="preserve">To understand when you might want to use this resource, read the </w:t>
                            </w:r>
                            <w:hyperlink r:id="rId10" w:history="1">
                              <w:r w:rsidRPr="0075453E">
                                <w:rPr>
                                  <w:rStyle w:val="Hyperlink"/>
                                </w:rPr>
                                <w:t>Step by Step Guide: Preparing Written Arguments for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63F0E6E8" w14:textId="77777777" w:rsidR="009B161C" w:rsidRDefault="009B161C" w:rsidP="009B161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75453E">
                                <w:rPr>
                                  <w:rStyle w:val="Hyperlink"/>
                                </w:rPr>
                                <w:t>Quick-Guide: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2BD74047" w14:textId="77777777" w:rsidR="009B161C" w:rsidRDefault="009B161C" w:rsidP="009B161C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75453E">
                                <w:rPr>
                                  <w:rStyle w:val="Hyperlink"/>
                                </w:rPr>
                                <w:t>Template Document: Submissions to the Independent Review Panel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BC9B024" w14:textId="77777777" w:rsidR="009B161C" w:rsidRPr="003553BB" w:rsidRDefault="009B161C" w:rsidP="009B161C">
                            <w:r>
                              <w:t xml:space="preserve">This text is a guide. You might need to make amendments to fit your circumstances. </w:t>
                            </w:r>
                            <w:bookmarkEnd w:id="0"/>
                            <w:bookmarkEnd w:id="1"/>
                          </w:p>
                          <w:p w14:paraId="5DB28EC1" w14:textId="6CEE48AC" w:rsidR="00EB437A" w:rsidRPr="003553BB" w:rsidRDefault="00EB437A" w:rsidP="009B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3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75pt;margin-top:26pt;width:531.75pt;height:2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">
                <v:textbox>
                  <w:txbxContent>
                    <w:p w14:paraId="4EF375B8" w14:textId="77777777" w:rsidR="00EB437A" w:rsidRPr="003553BB" w:rsidRDefault="00EB437A" w:rsidP="00EB437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CF7E6A3" w14:textId="22FC7710" w:rsidR="00EB437A" w:rsidRDefault="009B161C" w:rsidP="00EB437A">
                      <w:r>
                        <w:t xml:space="preserve">This is a Suggested Wording. It is a set of paragraphs you can use to argue to </w:t>
                      </w:r>
                      <w:r w:rsidR="00EB437A">
                        <w:t xml:space="preserve">the </w:t>
                      </w:r>
                      <w:r w:rsidR="008456F6">
                        <w:t>independent review panel</w:t>
                      </w:r>
                      <w:r w:rsidR="00EB437A">
                        <w:t xml:space="preserve"> that the </w:t>
                      </w:r>
                      <w:r w:rsidR="008456F6">
                        <w:t>governors</w:t>
                      </w:r>
                      <w:r w:rsidR="0029286C">
                        <w:t>’</w:t>
                      </w:r>
                      <w:r w:rsidR="008456F6">
                        <w:t xml:space="preserve"> decision </w:t>
                      </w:r>
                      <w:r w:rsidR="00B17637">
                        <w:t xml:space="preserve">was </w:t>
                      </w:r>
                      <w:r w:rsidR="00777308">
                        <w:t xml:space="preserve">procedurally unfair because they </w:t>
                      </w:r>
                      <w:r w:rsidR="004620CA">
                        <w:t>failed to allow enough time for the hearing, or because they failed to give equal time to both parties to speak without interruption.</w:t>
                      </w:r>
                    </w:p>
                    <w:p w14:paraId="0C66EF24" w14:textId="77777777" w:rsidR="009B161C" w:rsidRDefault="009B161C" w:rsidP="009B161C">
                      <w:pPr>
                        <w:rPr>
                          <w:i/>
                          <w:iCs/>
                        </w:rPr>
                      </w:pPr>
                      <w:bookmarkStart w:id="2" w:name="_Hlk24295631"/>
                      <w:bookmarkStart w:id="3" w:name="_Hlk24295632"/>
                      <w:r>
                        <w:t xml:space="preserve">To understand when you might want to use this resource, read the </w:t>
                      </w:r>
                      <w:hyperlink r:id="rId13" w:history="1">
                        <w:r w:rsidRPr="0075453E">
                          <w:rPr>
                            <w:rStyle w:val="Hyperlink"/>
                          </w:rPr>
                          <w:t>Step by Step Guide: Preparing Written Arguments for the Independent Review Panel</w:t>
                        </w:r>
                      </w:hyperlink>
                      <w:r>
                        <w:t>.</w:t>
                      </w:r>
                    </w:p>
                    <w:p w14:paraId="63F0E6E8" w14:textId="77777777" w:rsidR="009B161C" w:rsidRDefault="009B161C" w:rsidP="009B161C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75453E">
                          <w:rPr>
                            <w:rStyle w:val="Hyperlink"/>
                          </w:rPr>
                          <w:t>Quick-Guide: the Independent Review Panel</w:t>
                        </w:r>
                      </w:hyperlink>
                      <w:r>
                        <w:t>.</w:t>
                      </w:r>
                    </w:p>
                    <w:p w14:paraId="2BD74047" w14:textId="77777777" w:rsidR="009B161C" w:rsidRDefault="009B161C" w:rsidP="009B161C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75453E">
                          <w:rPr>
                            <w:rStyle w:val="Hyperlink"/>
                          </w:rPr>
                          <w:t>Template Document: Submissions to the Independent Review Panel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7BC9B024" w14:textId="77777777" w:rsidR="009B161C" w:rsidRPr="003553BB" w:rsidRDefault="009B161C" w:rsidP="009B161C">
                      <w:r>
                        <w:t xml:space="preserve">This text is a guide. You might need to make amendments to fit your circumstances. </w:t>
                      </w:r>
                      <w:bookmarkEnd w:id="2"/>
                      <w:bookmarkEnd w:id="3"/>
                    </w:p>
                    <w:p w14:paraId="5DB28EC1" w14:textId="6CEE48AC" w:rsidR="00EB437A" w:rsidRPr="003553BB" w:rsidRDefault="00EB437A" w:rsidP="009B161C"/>
                  </w:txbxContent>
                </v:textbox>
                <w10:wrap type="square"/>
              </v:shape>
            </w:pict>
          </mc:Fallback>
        </mc:AlternateContent>
      </w:r>
    </w:p>
    <w:p w14:paraId="5C3C80E7" w14:textId="4B1B7760" w:rsidR="008D1C55" w:rsidRPr="00D60BFE" w:rsidRDefault="00045848" w:rsidP="008D1C55">
      <w:pPr>
        <w:spacing w:after="0" w:line="240" w:lineRule="auto"/>
        <w:jc w:val="both"/>
        <w:rPr>
          <w:rStyle w:val="eop"/>
          <w:rFonts w:cstheme="minorHAnsi"/>
        </w:rPr>
      </w:pPr>
      <w:r w:rsidRPr="00D60BFE">
        <w:rPr>
          <w:rFonts w:cstheme="minorHAnsi"/>
        </w:rPr>
        <w:t>The IRP are asked to agree that the process of the governors’ review of</w:t>
      </w:r>
      <w:r w:rsidR="008D1C55" w:rsidRPr="00D60BFE">
        <w:rPr>
          <w:rFonts w:cstheme="minorHAnsi"/>
        </w:rPr>
        <w:t xml:space="preserve"> </w:t>
      </w:r>
      <w:sdt>
        <w:sdtPr>
          <w:rPr>
            <w:rStyle w:val="eop"/>
            <w:rFonts w:cstheme="minorHAnsi"/>
          </w:rPr>
          <w:tag w:val=""/>
          <w:id w:val="240680900"/>
          <w:placeholder>
            <w:docPart w:val="E1D45DE56D334D9A855874A4856845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8D1C55" w:rsidRPr="00D60BFE">
            <w:rPr>
              <w:rStyle w:val="PlaceholderText"/>
            </w:rPr>
            <w:t>young person</w:t>
          </w:r>
        </w:sdtContent>
      </w:sdt>
      <w:r w:rsidR="008D1C55" w:rsidRPr="00D60BFE">
        <w:rPr>
          <w:rStyle w:val="eop"/>
          <w:rFonts w:cstheme="minorHAnsi"/>
        </w:rPr>
        <w:t>’s permanent exclusion</w:t>
      </w:r>
      <w:r w:rsidR="00CF728F" w:rsidRPr="00D60BFE">
        <w:rPr>
          <w:rStyle w:val="eop"/>
          <w:rFonts w:cstheme="minorHAnsi"/>
        </w:rPr>
        <w:t xml:space="preserve"> was procedurally flawed</w:t>
      </w:r>
      <w:r w:rsidR="00570B9C" w:rsidRPr="00D60BFE">
        <w:rPr>
          <w:rStyle w:val="eop"/>
          <w:rFonts w:cstheme="minorHAnsi"/>
        </w:rPr>
        <w:t>.</w:t>
      </w:r>
    </w:p>
    <w:p w14:paraId="182A1249" w14:textId="77777777" w:rsidR="008D1C55" w:rsidRPr="00D60BFE" w:rsidRDefault="008D1C55" w:rsidP="008D1C55">
      <w:pPr>
        <w:spacing w:after="0" w:line="240" w:lineRule="auto"/>
        <w:jc w:val="both"/>
        <w:rPr>
          <w:rStyle w:val="eop"/>
          <w:rFonts w:cstheme="minorHAnsi"/>
        </w:rPr>
      </w:pPr>
    </w:p>
    <w:p w14:paraId="210C315F" w14:textId="0FD46999" w:rsidR="008D1C55" w:rsidRPr="00D60BFE" w:rsidRDefault="00426B2C" w:rsidP="008D1C55">
      <w:pPr>
        <w:spacing w:after="0" w:line="240" w:lineRule="auto"/>
        <w:jc w:val="both"/>
        <w:rPr>
          <w:rFonts w:cstheme="minorHAnsi"/>
        </w:rPr>
      </w:pPr>
      <w:r w:rsidRPr="00D60BFE">
        <w:rPr>
          <w:rFonts w:cstheme="minorHAnsi"/>
        </w:rPr>
        <w:t>In public law, “fairness” describes the requirement that any decision the governors take must be one which resulted from a procedurally correct process.</w:t>
      </w:r>
    </w:p>
    <w:p w14:paraId="6193BA49" w14:textId="7B5E5FF4" w:rsidR="00A44E41" w:rsidRDefault="00A44E41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ED9FE98" w14:textId="726599EA" w:rsidR="005C0B70" w:rsidRDefault="00D400CE" w:rsidP="008D1C55">
      <w:pPr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9DA15F" wp14:editId="5BC85220">
                <wp:simplePos x="0" y="0"/>
                <wp:positionH relativeFrom="column">
                  <wp:posOffset>-510540</wp:posOffset>
                </wp:positionH>
                <wp:positionV relativeFrom="paragraph">
                  <wp:posOffset>504190</wp:posOffset>
                </wp:positionV>
                <wp:extent cx="6708140" cy="1404620"/>
                <wp:effectExtent l="0" t="0" r="1651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7B00" w14:textId="2B371459" w:rsidR="00D400CE" w:rsidRDefault="00921D86">
                            <w:r>
                              <w:t xml:space="preserve">There are now two </w:t>
                            </w:r>
                            <w:r w:rsidR="003D7BEE">
                              <w:t>sections</w:t>
                            </w:r>
                            <w:r>
                              <w:t xml:space="preserve"> to choose from, </w:t>
                            </w:r>
                            <w:r w:rsidR="003D7BEE">
                              <w:t xml:space="preserve">a yellow one and a blue one. Choose the most appropriate section, complete the required information, remove the </w:t>
                            </w:r>
                            <w:proofErr w:type="gramStart"/>
                            <w:r w:rsidR="003D7BEE">
                              <w:t>highlighting</w:t>
                            </w:r>
                            <w:proofErr w:type="gramEnd"/>
                            <w:r w:rsidR="003D7BEE">
                              <w:t xml:space="preserve"> and then delete the </w:t>
                            </w:r>
                            <w:r w:rsidR="00426B2C">
                              <w:t>unused</w:t>
                            </w:r>
                            <w:r w:rsidR="003D7BEE">
                              <w:t xml:space="preserve"> section.</w:t>
                            </w:r>
                          </w:p>
                          <w:p w14:paraId="12A31D40" w14:textId="40590C80" w:rsidR="003D7BEE" w:rsidRDefault="003D7BEE">
                            <w:r>
                              <w:t xml:space="preserve">The yellow section is most appropriate if you want to argue </w:t>
                            </w:r>
                            <w:r w:rsidR="00AD6B6D">
                              <w:t xml:space="preserve">that the hearing was simply too short to allow </w:t>
                            </w:r>
                            <w:r w:rsidR="00426B2C">
                              <w:t>time for</w:t>
                            </w:r>
                            <w:r w:rsidR="00AD6B6D">
                              <w:t xml:space="preserve"> </w:t>
                            </w:r>
                            <w:r w:rsidR="00426B2C">
                              <w:t>full</w:t>
                            </w:r>
                            <w:r w:rsidR="00AD6B6D">
                              <w:t xml:space="preserve"> presentation and examination of the issues.</w:t>
                            </w:r>
                          </w:p>
                          <w:p w14:paraId="398CF5EA" w14:textId="60406C75" w:rsidR="003D7BEE" w:rsidRDefault="003D7BEE">
                            <w:r>
                              <w:t xml:space="preserve">The blue section is most appropriate if you want to argue that </w:t>
                            </w:r>
                            <w:r w:rsidR="00C744A8">
                              <w:t xml:space="preserve">the governors </w:t>
                            </w:r>
                            <w:r w:rsidR="00AD6B6D">
                              <w:t xml:space="preserve">allowed more time to the </w:t>
                            </w:r>
                            <w:r w:rsidR="00426B2C">
                              <w:t>school or</w:t>
                            </w:r>
                            <w:r w:rsidR="00AD6B6D">
                              <w:t xml:space="preserve"> allowed interruptions to the </w:t>
                            </w:r>
                            <w:r w:rsidR="00426B2C">
                              <w:t>family’s</w:t>
                            </w:r>
                            <w:r w:rsidR="00AD6B6D">
                              <w:t xml:space="preserve"> submissions but not to the </w:t>
                            </w:r>
                            <w:proofErr w:type="gramStart"/>
                            <w:r w:rsidR="00AD6B6D">
                              <w:t>schools</w:t>
                            </w:r>
                            <w:r w:rsidR="00426B2C">
                              <w:t>’</w:t>
                            </w:r>
                            <w:proofErr w:type="gramEnd"/>
                            <w:r w:rsidR="00AD6B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DA15F" id="_x0000_s1027" type="#_x0000_t202" style="position:absolute;left:0;text-align:left;margin-left:-40.2pt;margin-top:39.7pt;width:52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">
                <v:textbox style="mso-fit-shape-to-text:t">
                  <w:txbxContent>
                    <w:p w14:paraId="58C57B00" w14:textId="2B371459" w:rsidR="00D400CE" w:rsidRDefault="00921D86">
                      <w:r>
                        <w:t xml:space="preserve">There are now two </w:t>
                      </w:r>
                      <w:r w:rsidR="003D7BEE">
                        <w:t>sections</w:t>
                      </w:r>
                      <w:r>
                        <w:t xml:space="preserve"> to choose from, </w:t>
                      </w:r>
                      <w:r w:rsidR="003D7BEE">
                        <w:t xml:space="preserve">a yellow one and a blue one. Choose the most appropriate section, complete the required information, remove the highlighting and then delete the </w:t>
                      </w:r>
                      <w:r w:rsidR="00426B2C">
                        <w:t>unused</w:t>
                      </w:r>
                      <w:r w:rsidR="003D7BEE">
                        <w:t xml:space="preserve"> section.</w:t>
                      </w:r>
                    </w:p>
                    <w:p w14:paraId="12A31D40" w14:textId="40590C80" w:rsidR="003D7BEE" w:rsidRDefault="003D7BEE">
                      <w:r>
                        <w:t xml:space="preserve">The yellow section is most appropriate if you want to argue </w:t>
                      </w:r>
                      <w:r w:rsidR="00AD6B6D">
                        <w:t xml:space="preserve">that the hearing was simply too short to allow </w:t>
                      </w:r>
                      <w:r w:rsidR="00426B2C">
                        <w:t>time for</w:t>
                      </w:r>
                      <w:r w:rsidR="00AD6B6D">
                        <w:t xml:space="preserve"> </w:t>
                      </w:r>
                      <w:r w:rsidR="00426B2C">
                        <w:t>full</w:t>
                      </w:r>
                      <w:r w:rsidR="00AD6B6D">
                        <w:t xml:space="preserve"> presentation and examination of the issues.</w:t>
                      </w:r>
                    </w:p>
                    <w:p w14:paraId="398CF5EA" w14:textId="60406C75" w:rsidR="003D7BEE" w:rsidRDefault="003D7BEE">
                      <w:r>
                        <w:t xml:space="preserve">The blue section is most appropriate if you want to argue that </w:t>
                      </w:r>
                      <w:r w:rsidR="00C744A8">
                        <w:t xml:space="preserve">the governors </w:t>
                      </w:r>
                      <w:r w:rsidR="00AD6B6D">
                        <w:t xml:space="preserve">allowed more time to the </w:t>
                      </w:r>
                      <w:r w:rsidR="00426B2C">
                        <w:t>school or</w:t>
                      </w:r>
                      <w:r w:rsidR="00AD6B6D">
                        <w:t xml:space="preserve"> allowed interruptions to the </w:t>
                      </w:r>
                      <w:r w:rsidR="00426B2C">
                        <w:t>family’s</w:t>
                      </w:r>
                      <w:r w:rsidR="00AD6B6D">
                        <w:t xml:space="preserve"> submissions but not to the </w:t>
                      </w:r>
                      <w:proofErr w:type="gramStart"/>
                      <w:r w:rsidR="00AD6B6D">
                        <w:t>schools</w:t>
                      </w:r>
                      <w:r w:rsidR="00426B2C">
                        <w:t>’</w:t>
                      </w:r>
                      <w:proofErr w:type="gramEnd"/>
                      <w:r w:rsidR="00AD6B6D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B70">
        <w:t>The procedure followed by the governors in this case</w:t>
      </w:r>
      <w:r w:rsidR="00325C7D">
        <w:t xml:space="preserve"> was flawed because the governors’ hearing </w:t>
      </w:r>
      <w:r w:rsidR="00AD6B6D">
        <w:t>did not allow the family to present their full case.</w:t>
      </w:r>
    </w:p>
    <w:p w14:paraId="4FEDAF93" w14:textId="58074AF0" w:rsidR="00D400CE" w:rsidRDefault="00D400CE" w:rsidP="008D1C55">
      <w:pPr>
        <w:spacing w:after="0" w:line="240" w:lineRule="auto"/>
        <w:jc w:val="both"/>
      </w:pPr>
    </w:p>
    <w:p w14:paraId="038824B8" w14:textId="1E63FEE9" w:rsidR="0035513F" w:rsidRPr="009A48DD" w:rsidRDefault="001A5D6B" w:rsidP="008D1C55">
      <w:p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The governors</w:t>
      </w:r>
      <w:r w:rsidR="00570E46" w:rsidRPr="009A48DD">
        <w:rPr>
          <w:highlight w:val="yellow"/>
        </w:rPr>
        <w:t xml:space="preserve"> only</w:t>
      </w:r>
      <w:r>
        <w:rPr>
          <w:highlight w:val="yellow"/>
        </w:rPr>
        <w:t xml:space="preserve"> allowed</w:t>
      </w:r>
      <w:r w:rsidR="00570E46" w:rsidRPr="009A48DD">
        <w:rPr>
          <w:highlight w:val="yellow"/>
        </w:rPr>
        <w:t xml:space="preserve"> </w:t>
      </w:r>
      <w:sdt>
        <w:sdtPr>
          <w:rPr>
            <w:highlight w:val="yellow"/>
          </w:rPr>
          <w:id w:val="-578524480"/>
          <w:placeholder>
            <w:docPart w:val="7EA686712D9143D58F7883F10A445D86"/>
          </w:placeholder>
          <w:showingPlcHdr/>
        </w:sdtPr>
        <w:sdtEndPr/>
        <w:sdtContent>
          <w:r w:rsidR="00570E46" w:rsidRPr="009A48DD">
            <w:rPr>
              <w:rStyle w:val="PlaceholderText"/>
              <w:highlight w:val="yellow"/>
            </w:rPr>
            <w:t>amount of time available</w:t>
          </w:r>
        </w:sdtContent>
      </w:sdt>
      <w:r w:rsidR="00570E46" w:rsidRPr="009A48DD">
        <w:rPr>
          <w:highlight w:val="yellow"/>
        </w:rPr>
        <w:t xml:space="preserve"> for the hearing. </w:t>
      </w:r>
      <w:r w:rsidR="00CE72F7" w:rsidRPr="009A48DD">
        <w:rPr>
          <w:highlight w:val="yellow"/>
        </w:rPr>
        <w:t xml:space="preserve">This was wholly insufficient to address complex questions of fact and law that required a careful examination </w:t>
      </w:r>
      <w:r>
        <w:rPr>
          <w:highlight w:val="yellow"/>
        </w:rPr>
        <w:t xml:space="preserve">of </w:t>
      </w:r>
      <w:r w:rsidR="00CE72F7" w:rsidRPr="009A48DD">
        <w:rPr>
          <w:highlight w:val="yellow"/>
        </w:rPr>
        <w:t xml:space="preserve">the evidence, opportunity to undertake meaningful questioning and </w:t>
      </w:r>
      <w:r w:rsidR="008022F1" w:rsidRPr="009A48DD">
        <w:rPr>
          <w:highlight w:val="yellow"/>
        </w:rPr>
        <w:t>deliver a detailed statement.</w:t>
      </w:r>
    </w:p>
    <w:p w14:paraId="71AFB083" w14:textId="7C13923D" w:rsidR="00D920B2" w:rsidRPr="009A48DD" w:rsidRDefault="00D920B2" w:rsidP="008D1C55">
      <w:pPr>
        <w:spacing w:after="0" w:line="240" w:lineRule="auto"/>
        <w:jc w:val="both"/>
        <w:rPr>
          <w:highlight w:val="yellow"/>
        </w:rPr>
      </w:pPr>
    </w:p>
    <w:p w14:paraId="15DE29B8" w14:textId="2CB60DD0" w:rsidR="00D920B2" w:rsidRPr="00FD7ACD" w:rsidRDefault="00D920B2" w:rsidP="008D1C55">
      <w:pPr>
        <w:spacing w:after="0" w:line="240" w:lineRule="auto"/>
        <w:jc w:val="both"/>
        <w:rPr>
          <w:highlight w:val="yellow"/>
        </w:rPr>
      </w:pPr>
      <w:r w:rsidRPr="009A48DD">
        <w:rPr>
          <w:highlight w:val="yellow"/>
        </w:rPr>
        <w:t xml:space="preserve">This failure to allow sufficient time is a serious procedural error. It has resulted in </w:t>
      </w:r>
      <w:sdt>
        <w:sdtPr>
          <w:rPr>
            <w:rStyle w:val="eop"/>
            <w:rFonts w:cstheme="minorHAnsi"/>
            <w:highlight w:val="yellow"/>
          </w:rPr>
          <w:tag w:val=""/>
          <w:id w:val="-1723195933"/>
          <w:placeholder>
            <w:docPart w:val="EBB6CA1EB6444EB7A7A18F18E9AA1B7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114776" w:rsidRPr="009A48DD">
            <w:rPr>
              <w:rStyle w:val="PlaceholderText"/>
              <w:highlight w:val="yellow"/>
            </w:rPr>
            <w:t>young person</w:t>
          </w:r>
        </w:sdtContent>
      </w:sdt>
      <w:r w:rsidR="00B74588" w:rsidRPr="009A48DD">
        <w:rPr>
          <w:rStyle w:val="eop"/>
          <w:rFonts w:cstheme="minorHAnsi"/>
          <w:highlight w:val="yellow"/>
        </w:rPr>
        <w:t xml:space="preserve"> being denied the opportunity to </w:t>
      </w:r>
      <w:r w:rsidR="00B74588" w:rsidRPr="00FD7ACD">
        <w:rPr>
          <w:rStyle w:val="eop"/>
          <w:rFonts w:cstheme="minorHAnsi"/>
          <w:highlight w:val="yellow"/>
        </w:rPr>
        <w:t xml:space="preserve">have their defence fairly heard – a key requirement in any disciplinary process – and has handed an unfair advantage to the school who have had the benefit of conducting the investigation and asking questions of </w:t>
      </w:r>
      <w:sdt>
        <w:sdtPr>
          <w:rPr>
            <w:rStyle w:val="eop"/>
            <w:rFonts w:cstheme="minorHAnsi"/>
            <w:highlight w:val="yellow"/>
          </w:rPr>
          <w:tag w:val=""/>
          <w:id w:val="1736666976"/>
          <w:placeholder>
            <w:docPart w:val="551442BAE1F34DF8841A7A5C4035983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B74588" w:rsidRPr="00FD7ACD">
            <w:rPr>
              <w:rStyle w:val="PlaceholderText"/>
              <w:highlight w:val="yellow"/>
            </w:rPr>
            <w:t>young person</w:t>
          </w:r>
        </w:sdtContent>
      </w:sdt>
      <w:r w:rsidR="00B74588" w:rsidRPr="00FD7ACD">
        <w:rPr>
          <w:rStyle w:val="eop"/>
          <w:rFonts w:cstheme="minorHAnsi"/>
          <w:highlight w:val="yellow"/>
        </w:rPr>
        <w:t xml:space="preserve"> ahead of the hearing.</w:t>
      </w:r>
    </w:p>
    <w:p w14:paraId="0B86C848" w14:textId="47F5A354" w:rsidR="005C0B70" w:rsidRPr="00FD7ACD" w:rsidRDefault="005C0B70" w:rsidP="008D1C55">
      <w:pPr>
        <w:spacing w:after="0" w:line="240" w:lineRule="auto"/>
        <w:jc w:val="both"/>
        <w:rPr>
          <w:highlight w:val="yellow"/>
        </w:rPr>
      </w:pPr>
    </w:p>
    <w:p w14:paraId="32E3C06F" w14:textId="77777777" w:rsidR="00FD7ACD" w:rsidRPr="00B87BB8" w:rsidRDefault="00FD7ACD" w:rsidP="00FD7ACD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D7ACD">
        <w:rPr>
          <w:rFonts w:cstheme="minorHAnsi"/>
          <w:sz w:val="23"/>
          <w:szCs w:val="23"/>
          <w:highlight w:val="yellow"/>
        </w:rPr>
        <w:t>The IRP are therefore asked to quash the exclusion and direct reconsideration of it.</w:t>
      </w:r>
    </w:p>
    <w:p w14:paraId="3587B97D" w14:textId="77777777" w:rsidR="00FD7ACD" w:rsidRDefault="00FD7ACD" w:rsidP="008D1C55">
      <w:pPr>
        <w:spacing w:after="0" w:line="240" w:lineRule="auto"/>
        <w:jc w:val="both"/>
      </w:pPr>
    </w:p>
    <w:p w14:paraId="0A1E9BFC" w14:textId="03822CB4" w:rsidR="00A44E41" w:rsidRPr="00FD7ACD" w:rsidRDefault="009A48DD" w:rsidP="008D1C55">
      <w:pPr>
        <w:spacing w:after="0" w:line="240" w:lineRule="auto"/>
        <w:jc w:val="both"/>
        <w:rPr>
          <w:highlight w:val="cyan"/>
        </w:rPr>
      </w:pPr>
      <w:r w:rsidRPr="00B87BB8">
        <w:rPr>
          <w:highlight w:val="cyan"/>
        </w:rPr>
        <w:lastRenderedPageBreak/>
        <w:t xml:space="preserve">At the governors’ hearing, less time was allowed to the family than it was to the headteacher and school staff to make statements. The school made their statement for </w:t>
      </w:r>
      <w:sdt>
        <w:sdtPr>
          <w:rPr>
            <w:highlight w:val="cyan"/>
          </w:rPr>
          <w:id w:val="-1239318135"/>
          <w:placeholder>
            <w:docPart w:val="68233C7B0B5141F3AE3128C6DAF87F56"/>
          </w:placeholder>
          <w:showingPlcHdr/>
        </w:sdtPr>
        <w:sdtEndPr/>
        <w:sdtContent>
          <w:r w:rsidR="00973BF2" w:rsidRPr="00B87BB8">
            <w:rPr>
              <w:rStyle w:val="PlaceholderText"/>
              <w:highlight w:val="cyan"/>
            </w:rPr>
            <w:t>length of the school’s statement</w:t>
          </w:r>
        </w:sdtContent>
      </w:sdt>
      <w:r w:rsidR="00973BF2" w:rsidRPr="00B87BB8">
        <w:rPr>
          <w:highlight w:val="cyan"/>
        </w:rPr>
        <w:t xml:space="preserve"> and were allowed </w:t>
      </w:r>
      <w:r w:rsidR="00973BF2" w:rsidRPr="00271BD8">
        <w:rPr>
          <w:highlight w:val="cyan"/>
        </w:rPr>
        <w:t>to speak without interruption.</w:t>
      </w:r>
      <w:r w:rsidR="00FF2BF7" w:rsidRPr="00271BD8">
        <w:rPr>
          <w:highlight w:val="cyan"/>
        </w:rPr>
        <w:t xml:space="preserve"> The family</w:t>
      </w:r>
      <w:r w:rsidR="00271BD8" w:rsidRPr="00271BD8">
        <w:rPr>
          <w:highlight w:val="cyan"/>
        </w:rPr>
        <w:t xml:space="preserve"> </w:t>
      </w:r>
      <w:sdt>
        <w:sdtPr>
          <w:rPr>
            <w:highlight w:val="cyan"/>
          </w:rPr>
          <w:alias w:val="Select one using the drop-down"/>
          <w:tag w:val="Select one using the drop-down"/>
          <w:id w:val="1960368510"/>
          <w:placeholder>
            <w:docPart w:val="468BC0A1B5104484BFDEB28669C5E4CE"/>
          </w:placeholder>
          <w:showingPlcHdr/>
          <w:comboBox>
            <w:listItem w:value="Choose an item."/>
            <w:listItem w:displayText="were allowed less time to speak" w:value="were allowed less time to speak"/>
            <w:listItem w:displayText="were not able to speak without interruption" w:value="were not able to speak without interruption"/>
          </w:comboBox>
        </w:sdtPr>
        <w:sdtEndPr/>
        <w:sdtContent>
          <w:r w:rsidR="00271BD8" w:rsidRPr="00271BD8">
            <w:rPr>
              <w:rStyle w:val="PlaceholderText"/>
              <w:highlight w:val="cyan"/>
            </w:rPr>
            <w:t>were allowed less time to speak/were not able to speak without interruption</w:t>
          </w:r>
        </w:sdtContent>
      </w:sdt>
      <w:r w:rsidR="00FF2BF7" w:rsidRPr="00271BD8">
        <w:rPr>
          <w:highlight w:val="cyan"/>
        </w:rPr>
        <w:t xml:space="preserve">. Whilst it is appreciated that it can be a challenge for governors to </w:t>
      </w:r>
      <w:r w:rsidR="00A81857" w:rsidRPr="00271BD8">
        <w:rPr>
          <w:highlight w:val="cyan"/>
        </w:rPr>
        <w:t xml:space="preserve">keep parity between the school staff and family considering their relationship with staff, </w:t>
      </w:r>
      <w:proofErr w:type="gramStart"/>
      <w:r w:rsidR="00A81857" w:rsidRPr="00271BD8">
        <w:rPr>
          <w:highlight w:val="cyan"/>
        </w:rPr>
        <w:t>this is why</w:t>
      </w:r>
      <w:proofErr w:type="gramEnd"/>
      <w:r w:rsidR="00A81857" w:rsidRPr="00271BD8">
        <w:rPr>
          <w:highlight w:val="cyan"/>
        </w:rPr>
        <w:t xml:space="preserve"> it is so important that they discharge this function proactively</w:t>
      </w:r>
      <w:r w:rsidR="00A81857" w:rsidRPr="00B87BB8">
        <w:rPr>
          <w:highlight w:val="cyan"/>
        </w:rPr>
        <w:t xml:space="preserve">, </w:t>
      </w:r>
      <w:r w:rsidR="00370288" w:rsidRPr="00B87BB8">
        <w:rPr>
          <w:highlight w:val="cyan"/>
        </w:rPr>
        <w:t xml:space="preserve">taking extra care not to benefit the school through </w:t>
      </w:r>
      <w:r w:rsidR="00271BD8">
        <w:rPr>
          <w:highlight w:val="cyan"/>
        </w:rPr>
        <w:t xml:space="preserve">the conduct of </w:t>
      </w:r>
      <w:r w:rsidR="00271BD8" w:rsidRPr="00FD7ACD">
        <w:rPr>
          <w:highlight w:val="cyan"/>
        </w:rPr>
        <w:t>the hearing</w:t>
      </w:r>
      <w:r w:rsidR="00370288" w:rsidRPr="00FD7ACD">
        <w:rPr>
          <w:highlight w:val="cyan"/>
        </w:rPr>
        <w:t>.</w:t>
      </w:r>
    </w:p>
    <w:p w14:paraId="44CA806B" w14:textId="7E277488" w:rsidR="00370288" w:rsidRPr="00FD7ACD" w:rsidRDefault="00370288" w:rsidP="008D1C55">
      <w:pPr>
        <w:spacing w:after="0" w:line="240" w:lineRule="auto"/>
        <w:jc w:val="both"/>
        <w:rPr>
          <w:highlight w:val="cyan"/>
        </w:rPr>
      </w:pPr>
    </w:p>
    <w:p w14:paraId="4AAE8276" w14:textId="0768EC20" w:rsidR="00370288" w:rsidRPr="00FD7ACD" w:rsidRDefault="00370288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  <w:r w:rsidRPr="00FD7ACD">
        <w:rPr>
          <w:highlight w:val="cyan"/>
        </w:rPr>
        <w:t xml:space="preserve">They have failed to do that in </w:t>
      </w:r>
      <w:sdt>
        <w:sdtPr>
          <w:rPr>
            <w:rStyle w:val="eop"/>
            <w:rFonts w:cstheme="minorHAnsi"/>
            <w:highlight w:val="cyan"/>
          </w:rPr>
          <w:tag w:val=""/>
          <w:id w:val="340586729"/>
          <w:placeholder>
            <w:docPart w:val="42665A05CB0D4EB9AB7A652A612012A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Pr="00FD7ACD">
            <w:rPr>
              <w:rStyle w:val="PlaceholderText"/>
              <w:highlight w:val="cyan"/>
            </w:rPr>
            <w:t>young person</w:t>
          </w:r>
        </w:sdtContent>
      </w:sdt>
      <w:r w:rsidRPr="00FD7ACD">
        <w:rPr>
          <w:rStyle w:val="eop"/>
          <w:rFonts w:cstheme="minorHAnsi"/>
          <w:highlight w:val="cyan"/>
        </w:rPr>
        <w:t xml:space="preserve">’s hearing. This is a serious procedural failing, it has exacerbated the inequity in power between the school and family and undermined </w:t>
      </w:r>
      <w:sdt>
        <w:sdtPr>
          <w:rPr>
            <w:rStyle w:val="eop"/>
            <w:rFonts w:cstheme="minorHAnsi"/>
            <w:highlight w:val="cyan"/>
          </w:rPr>
          <w:tag w:val=""/>
          <w:id w:val="-711344601"/>
          <w:placeholder>
            <w:docPart w:val="7353CAAB800F496AA1585229811C38A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Pr="00FD7ACD">
            <w:rPr>
              <w:rStyle w:val="PlaceholderText"/>
              <w:highlight w:val="cyan"/>
            </w:rPr>
            <w:t>young person</w:t>
          </w:r>
        </w:sdtContent>
      </w:sdt>
      <w:r w:rsidRPr="00FD7ACD">
        <w:rPr>
          <w:rStyle w:val="eop"/>
          <w:rFonts w:cstheme="minorHAnsi"/>
          <w:highlight w:val="cyan"/>
        </w:rPr>
        <w:t>’s opportunity to have their defence fairly heard.</w:t>
      </w:r>
    </w:p>
    <w:p w14:paraId="5F37322F" w14:textId="638D1581" w:rsidR="00370288" w:rsidRPr="00FD7ACD" w:rsidRDefault="00370288" w:rsidP="008D1C55">
      <w:pPr>
        <w:spacing w:after="0" w:line="240" w:lineRule="auto"/>
        <w:jc w:val="both"/>
        <w:rPr>
          <w:rStyle w:val="eop"/>
          <w:rFonts w:cstheme="minorHAnsi"/>
          <w:highlight w:val="cyan"/>
        </w:rPr>
      </w:pPr>
    </w:p>
    <w:p w14:paraId="367EED4D" w14:textId="3D4AE831" w:rsidR="00370288" w:rsidRPr="00B87BB8" w:rsidRDefault="00B87BB8" w:rsidP="008D1C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D7ACD">
        <w:rPr>
          <w:rFonts w:cstheme="minorHAnsi"/>
          <w:sz w:val="23"/>
          <w:szCs w:val="23"/>
          <w:highlight w:val="cyan"/>
        </w:rPr>
        <w:t>The IRP are therefore asked to quash the exclusion and direct reconsideration of it.</w:t>
      </w:r>
    </w:p>
    <w:sectPr w:rsidR="00370288" w:rsidRPr="00B87B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89EC" w14:textId="77777777" w:rsidR="002503EE" w:rsidRDefault="002503EE" w:rsidP="00A357EA">
      <w:pPr>
        <w:spacing w:after="0" w:line="240" w:lineRule="auto"/>
      </w:pPr>
      <w:r>
        <w:separator/>
      </w:r>
    </w:p>
  </w:endnote>
  <w:endnote w:type="continuationSeparator" w:id="0">
    <w:p w14:paraId="16EF6725" w14:textId="77777777" w:rsidR="002503EE" w:rsidRDefault="002503EE" w:rsidP="00A357EA">
      <w:pPr>
        <w:spacing w:after="0" w:line="240" w:lineRule="auto"/>
      </w:pPr>
      <w:r>
        <w:continuationSeparator/>
      </w:r>
    </w:p>
  </w:endnote>
  <w:endnote w:type="continuationNotice" w:id="1">
    <w:p w14:paraId="441DBEF8" w14:textId="77777777" w:rsidR="002503EE" w:rsidRDefault="00250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8F44" w14:textId="77777777" w:rsidR="00914ED1" w:rsidRDefault="00914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1D22" w14:textId="77777777" w:rsidR="00914ED1" w:rsidRDefault="00914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933D" w14:textId="77777777" w:rsidR="00914ED1" w:rsidRDefault="0091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4937" w14:textId="77777777" w:rsidR="002503EE" w:rsidRDefault="002503EE" w:rsidP="00A357EA">
      <w:pPr>
        <w:spacing w:after="0" w:line="240" w:lineRule="auto"/>
      </w:pPr>
      <w:r>
        <w:separator/>
      </w:r>
    </w:p>
  </w:footnote>
  <w:footnote w:type="continuationSeparator" w:id="0">
    <w:p w14:paraId="354FF3E5" w14:textId="77777777" w:rsidR="002503EE" w:rsidRDefault="002503EE" w:rsidP="00A357EA">
      <w:pPr>
        <w:spacing w:after="0" w:line="240" w:lineRule="auto"/>
      </w:pPr>
      <w:r>
        <w:continuationSeparator/>
      </w:r>
    </w:p>
  </w:footnote>
  <w:footnote w:type="continuationNotice" w:id="1">
    <w:p w14:paraId="268C5EF3" w14:textId="77777777" w:rsidR="002503EE" w:rsidRDefault="00250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2F0C" w14:textId="77777777" w:rsidR="00914ED1" w:rsidRDefault="00914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6AD" w14:textId="2F3CC209" w:rsidR="00A357EA" w:rsidRDefault="00A357EA" w:rsidP="00A357EA">
    <w:pPr>
      <w:spacing w:after="0"/>
      <w:rPr>
        <w:b/>
        <w:bCs/>
        <w:i/>
        <w:iCs/>
      </w:rPr>
    </w:pPr>
    <w:bookmarkStart w:id="2" w:name="_Hlk22891978"/>
    <w:bookmarkStart w:id="3" w:name="_Hlk22902824"/>
    <w:bookmarkStart w:id="4" w:name="_Hlk22902825"/>
    <w:bookmarkStart w:id="5" w:name="_Hlk22907184"/>
    <w:bookmarkStart w:id="6" w:name="_Hlk22907185"/>
    <w:bookmarkStart w:id="7" w:name="_Hlk22907422"/>
    <w:bookmarkStart w:id="8" w:name="_Hlk22907423"/>
    <w:bookmarkStart w:id="9" w:name="_Hlk22911513"/>
    <w:bookmarkStart w:id="10" w:name="_Hlk22911514"/>
    <w:bookmarkStart w:id="11" w:name="_Hlk22913710"/>
    <w:bookmarkStart w:id="12" w:name="_Hlk22913711"/>
    <w:bookmarkStart w:id="13" w:name="_Hlk22916198"/>
    <w:bookmarkStart w:id="14" w:name="_Hlk22916199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79F6A28" wp14:editId="59B83A73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115F54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CCE36DE" w14:textId="28B52050" w:rsidR="00A357EA" w:rsidRDefault="009B4DD4" w:rsidP="00A357EA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 w:rsidRPr="009B4DD4">
      <w:rPr>
        <w:b/>
        <w:bCs/>
        <w:i/>
        <w:iCs/>
        <w:noProof/>
      </w:rPr>
      <w:t xml:space="preserve">Argument to IRP, </w:t>
    </w:r>
    <w:r w:rsidR="008438B0">
      <w:rPr>
        <w:b/>
        <w:bCs/>
        <w:i/>
        <w:iCs/>
        <w:noProof/>
      </w:rPr>
      <w:t>g</w:t>
    </w:r>
    <w:r w:rsidRPr="009B4DD4">
      <w:rPr>
        <w:b/>
        <w:bCs/>
        <w:i/>
        <w:iCs/>
        <w:noProof/>
      </w:rPr>
      <w:t xml:space="preserve">overnors’ </w:t>
    </w:r>
    <w:r w:rsidR="008438B0">
      <w:rPr>
        <w:b/>
        <w:bCs/>
        <w:i/>
        <w:iCs/>
        <w:noProof/>
      </w:rPr>
      <w:t>p</w:t>
    </w:r>
    <w:r w:rsidR="00FF4394">
      <w:rPr>
        <w:b/>
        <w:bCs/>
        <w:i/>
        <w:iCs/>
        <w:noProof/>
      </w:rPr>
      <w:t xml:space="preserve">rocedure </w:t>
    </w:r>
    <w:r w:rsidR="008438B0">
      <w:rPr>
        <w:b/>
        <w:bCs/>
        <w:i/>
        <w:iCs/>
        <w:noProof/>
      </w:rPr>
      <w:t>f</w:t>
    </w:r>
    <w:r w:rsidR="00FF4394">
      <w:rPr>
        <w:b/>
        <w:bCs/>
        <w:i/>
        <w:iCs/>
        <w:noProof/>
      </w:rPr>
      <w:t>lawed (</w:t>
    </w:r>
    <w:r w:rsidR="008438B0">
      <w:rPr>
        <w:b/>
        <w:bCs/>
        <w:i/>
        <w:iCs/>
        <w:noProof/>
      </w:rPr>
      <w:t>e</w:t>
    </w:r>
    <w:r w:rsidR="004620CA">
      <w:rPr>
        <w:b/>
        <w:bCs/>
        <w:i/>
        <w:iCs/>
        <w:noProof/>
      </w:rPr>
      <w:t>qual-time</w:t>
    </w:r>
    <w:r w:rsidR="00FF4394">
      <w:rPr>
        <w:b/>
        <w:bCs/>
        <w:i/>
        <w:iCs/>
        <w:noProof/>
      </w:rPr>
      <w:t>)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054F4D2F" w14:textId="77777777" w:rsidR="00A357EA" w:rsidRDefault="00A35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13B" w14:textId="77777777" w:rsidR="00914ED1" w:rsidRDefault="0091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4B30"/>
    <w:multiLevelType w:val="hybridMultilevel"/>
    <w:tmpl w:val="EBBC1F8C"/>
    <w:lvl w:ilvl="0" w:tplc="9F04E0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46"/>
    <w:multiLevelType w:val="hybridMultilevel"/>
    <w:tmpl w:val="DD687CB2"/>
    <w:lvl w:ilvl="0" w:tplc="D7C2D7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834816">
    <w:abstractNumId w:val="4"/>
  </w:num>
  <w:num w:numId="2" w16cid:durableId="868566865">
    <w:abstractNumId w:val="1"/>
  </w:num>
  <w:num w:numId="3" w16cid:durableId="1558124245">
    <w:abstractNumId w:val="2"/>
  </w:num>
  <w:num w:numId="4" w16cid:durableId="1120877123">
    <w:abstractNumId w:val="0"/>
  </w:num>
  <w:num w:numId="5" w16cid:durableId="1563636513">
    <w:abstractNumId w:val="5"/>
  </w:num>
  <w:num w:numId="6" w16cid:durableId="151422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043DD"/>
    <w:rsid w:val="00007CEE"/>
    <w:rsid w:val="00020890"/>
    <w:rsid w:val="00020A7E"/>
    <w:rsid w:val="00021271"/>
    <w:rsid w:val="00025502"/>
    <w:rsid w:val="00025B40"/>
    <w:rsid w:val="000371F2"/>
    <w:rsid w:val="00044D33"/>
    <w:rsid w:val="00045848"/>
    <w:rsid w:val="000658F6"/>
    <w:rsid w:val="00077CB2"/>
    <w:rsid w:val="000812A1"/>
    <w:rsid w:val="00082C54"/>
    <w:rsid w:val="00093266"/>
    <w:rsid w:val="000A4162"/>
    <w:rsid w:val="000B2414"/>
    <w:rsid w:val="000B7453"/>
    <w:rsid w:val="000C2D2D"/>
    <w:rsid w:val="000D32EB"/>
    <w:rsid w:val="000D6AD7"/>
    <w:rsid w:val="000F6451"/>
    <w:rsid w:val="00111ADE"/>
    <w:rsid w:val="00114776"/>
    <w:rsid w:val="00115F54"/>
    <w:rsid w:val="001566D2"/>
    <w:rsid w:val="00174925"/>
    <w:rsid w:val="001A307A"/>
    <w:rsid w:val="001A5D6B"/>
    <w:rsid w:val="001A7E8B"/>
    <w:rsid w:val="001B0496"/>
    <w:rsid w:val="001D4C14"/>
    <w:rsid w:val="001D53C8"/>
    <w:rsid w:val="001E2A08"/>
    <w:rsid w:val="001F5154"/>
    <w:rsid w:val="002077AD"/>
    <w:rsid w:val="00215C94"/>
    <w:rsid w:val="002212B4"/>
    <w:rsid w:val="00225E63"/>
    <w:rsid w:val="00245FB8"/>
    <w:rsid w:val="002503EE"/>
    <w:rsid w:val="00271BD8"/>
    <w:rsid w:val="002805C8"/>
    <w:rsid w:val="002851FB"/>
    <w:rsid w:val="0029286C"/>
    <w:rsid w:val="002A1589"/>
    <w:rsid w:val="002D033F"/>
    <w:rsid w:val="002D273C"/>
    <w:rsid w:val="002D2E0E"/>
    <w:rsid w:val="002D6377"/>
    <w:rsid w:val="002D6C3E"/>
    <w:rsid w:val="002F1587"/>
    <w:rsid w:val="002F431F"/>
    <w:rsid w:val="002F7242"/>
    <w:rsid w:val="003160F0"/>
    <w:rsid w:val="00323B35"/>
    <w:rsid w:val="00325C7D"/>
    <w:rsid w:val="00327B42"/>
    <w:rsid w:val="003453AB"/>
    <w:rsid w:val="003525D9"/>
    <w:rsid w:val="0035513F"/>
    <w:rsid w:val="0036043B"/>
    <w:rsid w:val="00370288"/>
    <w:rsid w:val="00394B8B"/>
    <w:rsid w:val="00394BA3"/>
    <w:rsid w:val="00395912"/>
    <w:rsid w:val="003A04F3"/>
    <w:rsid w:val="003A2557"/>
    <w:rsid w:val="003C49B9"/>
    <w:rsid w:val="003D7BEE"/>
    <w:rsid w:val="003E6432"/>
    <w:rsid w:val="003F69CB"/>
    <w:rsid w:val="00403053"/>
    <w:rsid w:val="00426B2C"/>
    <w:rsid w:val="00452B3B"/>
    <w:rsid w:val="004620CA"/>
    <w:rsid w:val="004676C5"/>
    <w:rsid w:val="004914F7"/>
    <w:rsid w:val="004B4469"/>
    <w:rsid w:val="004D36A4"/>
    <w:rsid w:val="004F5417"/>
    <w:rsid w:val="00505A4B"/>
    <w:rsid w:val="00521712"/>
    <w:rsid w:val="005238B4"/>
    <w:rsid w:val="005469DF"/>
    <w:rsid w:val="00562688"/>
    <w:rsid w:val="00570B9C"/>
    <w:rsid w:val="00570E46"/>
    <w:rsid w:val="005A0C37"/>
    <w:rsid w:val="005A3156"/>
    <w:rsid w:val="005C0B70"/>
    <w:rsid w:val="005C32A2"/>
    <w:rsid w:val="005D05BA"/>
    <w:rsid w:val="005E4B30"/>
    <w:rsid w:val="005E6805"/>
    <w:rsid w:val="005F04C9"/>
    <w:rsid w:val="00604AAE"/>
    <w:rsid w:val="00621206"/>
    <w:rsid w:val="006331CB"/>
    <w:rsid w:val="00633D28"/>
    <w:rsid w:val="006417A2"/>
    <w:rsid w:val="006656A9"/>
    <w:rsid w:val="00680424"/>
    <w:rsid w:val="0068586A"/>
    <w:rsid w:val="00694E9D"/>
    <w:rsid w:val="00695585"/>
    <w:rsid w:val="006A2D45"/>
    <w:rsid w:val="006D03DD"/>
    <w:rsid w:val="006D5120"/>
    <w:rsid w:val="006E6533"/>
    <w:rsid w:val="00700AFA"/>
    <w:rsid w:val="007147C8"/>
    <w:rsid w:val="00724782"/>
    <w:rsid w:val="00734590"/>
    <w:rsid w:val="00766722"/>
    <w:rsid w:val="007676C1"/>
    <w:rsid w:val="00770BF6"/>
    <w:rsid w:val="00772CE2"/>
    <w:rsid w:val="00777308"/>
    <w:rsid w:val="00783B25"/>
    <w:rsid w:val="00797BF2"/>
    <w:rsid w:val="007B0775"/>
    <w:rsid w:val="007D32E6"/>
    <w:rsid w:val="007D57D9"/>
    <w:rsid w:val="007E58C1"/>
    <w:rsid w:val="007E7BC7"/>
    <w:rsid w:val="008022F1"/>
    <w:rsid w:val="008201D4"/>
    <w:rsid w:val="0083077D"/>
    <w:rsid w:val="00836E03"/>
    <w:rsid w:val="008438B0"/>
    <w:rsid w:val="008456F6"/>
    <w:rsid w:val="00853DCE"/>
    <w:rsid w:val="0086249D"/>
    <w:rsid w:val="008812A8"/>
    <w:rsid w:val="00890103"/>
    <w:rsid w:val="00891E8D"/>
    <w:rsid w:val="008A2A89"/>
    <w:rsid w:val="008B4F04"/>
    <w:rsid w:val="008D1C55"/>
    <w:rsid w:val="008E16AC"/>
    <w:rsid w:val="008E5AA3"/>
    <w:rsid w:val="008F22AD"/>
    <w:rsid w:val="008F6519"/>
    <w:rsid w:val="009035DA"/>
    <w:rsid w:val="009121DC"/>
    <w:rsid w:val="00914ED1"/>
    <w:rsid w:val="00921D86"/>
    <w:rsid w:val="00947444"/>
    <w:rsid w:val="00957A75"/>
    <w:rsid w:val="00966EE1"/>
    <w:rsid w:val="009716E8"/>
    <w:rsid w:val="00973BF2"/>
    <w:rsid w:val="009853D4"/>
    <w:rsid w:val="009A48DD"/>
    <w:rsid w:val="009B052B"/>
    <w:rsid w:val="009B161C"/>
    <w:rsid w:val="009B4DD4"/>
    <w:rsid w:val="009C0E87"/>
    <w:rsid w:val="009D34F7"/>
    <w:rsid w:val="009D3E4D"/>
    <w:rsid w:val="009F2361"/>
    <w:rsid w:val="00A033DF"/>
    <w:rsid w:val="00A23119"/>
    <w:rsid w:val="00A357EA"/>
    <w:rsid w:val="00A36DF5"/>
    <w:rsid w:val="00A40D3C"/>
    <w:rsid w:val="00A442C1"/>
    <w:rsid w:val="00A44E41"/>
    <w:rsid w:val="00A81857"/>
    <w:rsid w:val="00A82976"/>
    <w:rsid w:val="00A9059B"/>
    <w:rsid w:val="00A9186A"/>
    <w:rsid w:val="00A9608D"/>
    <w:rsid w:val="00AA1486"/>
    <w:rsid w:val="00AA26C4"/>
    <w:rsid w:val="00AB0D2D"/>
    <w:rsid w:val="00AB6325"/>
    <w:rsid w:val="00AB7217"/>
    <w:rsid w:val="00AC1F59"/>
    <w:rsid w:val="00AC5793"/>
    <w:rsid w:val="00AD0758"/>
    <w:rsid w:val="00AD1E04"/>
    <w:rsid w:val="00AD47A1"/>
    <w:rsid w:val="00AD6B6D"/>
    <w:rsid w:val="00AE48A0"/>
    <w:rsid w:val="00AF1161"/>
    <w:rsid w:val="00B013CA"/>
    <w:rsid w:val="00B17637"/>
    <w:rsid w:val="00B21F3C"/>
    <w:rsid w:val="00B247A7"/>
    <w:rsid w:val="00B247EF"/>
    <w:rsid w:val="00B34A78"/>
    <w:rsid w:val="00B74588"/>
    <w:rsid w:val="00B772A7"/>
    <w:rsid w:val="00B83F6D"/>
    <w:rsid w:val="00B87BB8"/>
    <w:rsid w:val="00B93D53"/>
    <w:rsid w:val="00BA3389"/>
    <w:rsid w:val="00BE5769"/>
    <w:rsid w:val="00BF0807"/>
    <w:rsid w:val="00BF24E6"/>
    <w:rsid w:val="00C539EF"/>
    <w:rsid w:val="00C70FCE"/>
    <w:rsid w:val="00C744A8"/>
    <w:rsid w:val="00C74972"/>
    <w:rsid w:val="00C8371F"/>
    <w:rsid w:val="00C87CC9"/>
    <w:rsid w:val="00CB2C69"/>
    <w:rsid w:val="00CC0C48"/>
    <w:rsid w:val="00CC4712"/>
    <w:rsid w:val="00CC5D7E"/>
    <w:rsid w:val="00CE1319"/>
    <w:rsid w:val="00CE72F7"/>
    <w:rsid w:val="00CF087F"/>
    <w:rsid w:val="00CF728F"/>
    <w:rsid w:val="00D05EAB"/>
    <w:rsid w:val="00D23A23"/>
    <w:rsid w:val="00D26F4C"/>
    <w:rsid w:val="00D30A54"/>
    <w:rsid w:val="00D348FE"/>
    <w:rsid w:val="00D400CE"/>
    <w:rsid w:val="00D421BE"/>
    <w:rsid w:val="00D44229"/>
    <w:rsid w:val="00D60BFE"/>
    <w:rsid w:val="00D81151"/>
    <w:rsid w:val="00D90872"/>
    <w:rsid w:val="00D920B2"/>
    <w:rsid w:val="00D92396"/>
    <w:rsid w:val="00DB18A6"/>
    <w:rsid w:val="00DC06E5"/>
    <w:rsid w:val="00DC6482"/>
    <w:rsid w:val="00DE6C91"/>
    <w:rsid w:val="00E07F0F"/>
    <w:rsid w:val="00E15A61"/>
    <w:rsid w:val="00E5371D"/>
    <w:rsid w:val="00E65050"/>
    <w:rsid w:val="00E859A9"/>
    <w:rsid w:val="00E85F65"/>
    <w:rsid w:val="00EA1199"/>
    <w:rsid w:val="00EB437A"/>
    <w:rsid w:val="00EC6F28"/>
    <w:rsid w:val="00EE3369"/>
    <w:rsid w:val="00EF3F38"/>
    <w:rsid w:val="00F05C71"/>
    <w:rsid w:val="00F0601C"/>
    <w:rsid w:val="00F35B1C"/>
    <w:rsid w:val="00F40E25"/>
    <w:rsid w:val="00F51BF6"/>
    <w:rsid w:val="00F71AAA"/>
    <w:rsid w:val="00FB245C"/>
    <w:rsid w:val="00FD7ACD"/>
    <w:rsid w:val="00FF2BF7"/>
    <w:rsid w:val="00FF4394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EA"/>
  </w:style>
  <w:style w:type="paragraph" w:styleId="Footer">
    <w:name w:val="footer"/>
    <w:basedOn w:val="Normal"/>
    <w:link w:val="FooterChar"/>
    <w:uiPriority w:val="99"/>
    <w:unhideWhenUsed/>
    <w:rsid w:val="00A3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EA"/>
  </w:style>
  <w:style w:type="character" w:styleId="PlaceholderText">
    <w:name w:val="Placeholder Text"/>
    <w:basedOn w:val="DefaultParagraphFont"/>
    <w:uiPriority w:val="99"/>
    <w:semiHidden/>
    <w:rsid w:val="008D1C55"/>
    <w:rPr>
      <w:color w:val="808080"/>
    </w:rPr>
  </w:style>
  <w:style w:type="character" w:customStyle="1" w:styleId="eop">
    <w:name w:val="eop"/>
    <w:basedOn w:val="DefaultParagraphFont"/>
    <w:rsid w:val="008D1C55"/>
  </w:style>
  <w:style w:type="character" w:styleId="CommentReference">
    <w:name w:val="annotation reference"/>
    <w:basedOn w:val="DefaultParagraphFont"/>
    <w:uiPriority w:val="99"/>
    <w:semiHidden/>
    <w:unhideWhenUsed/>
    <w:rsid w:val="0069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E9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4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creating-written-submissions-ir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after-governors-meeting-appeal-and-3/attending-irp-advocacy-and-supporting-family/quick-guide-independent-review-pan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45DE56D334D9A855874A48568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BB6C-E5AD-4275-820F-8BA370A39F2C}"/>
      </w:docPartPr>
      <w:docPartBody>
        <w:p w:rsidR="005D21BD" w:rsidRDefault="004F53E4" w:rsidP="004F53E4">
          <w:pPr>
            <w:pStyle w:val="E1D45DE56D334D9A855874A4856845D429"/>
          </w:pPr>
          <w:r w:rsidRPr="004624FD">
            <w:rPr>
              <w:rStyle w:val="PlaceholderText"/>
            </w:rPr>
            <w:t>young person</w:t>
          </w:r>
        </w:p>
      </w:docPartBody>
    </w:docPart>
    <w:docPart>
      <w:docPartPr>
        <w:name w:val="7EA686712D9143D58F7883F10A44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C2F8-B1AA-4480-9166-42B5BB412C58}"/>
      </w:docPartPr>
      <w:docPartBody>
        <w:p w:rsidR="004F53E4" w:rsidRDefault="004F53E4" w:rsidP="004F53E4">
          <w:pPr>
            <w:pStyle w:val="7EA686712D9143D58F7883F10A445D863"/>
          </w:pPr>
          <w:r w:rsidRPr="009A48DD">
            <w:rPr>
              <w:rStyle w:val="PlaceholderText"/>
              <w:highlight w:val="yellow"/>
            </w:rPr>
            <w:t>amount of time available</w:t>
          </w:r>
        </w:p>
      </w:docPartBody>
    </w:docPart>
    <w:docPart>
      <w:docPartPr>
        <w:name w:val="EBB6CA1EB6444EB7A7A18F18E9AA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463E-B7D9-4C5A-9AD4-CAFAE270E87D}"/>
      </w:docPartPr>
      <w:docPartBody>
        <w:p w:rsidR="004F53E4" w:rsidRDefault="004F53E4" w:rsidP="004F53E4">
          <w:pPr>
            <w:pStyle w:val="EBB6CA1EB6444EB7A7A18F18E9AA1B703"/>
          </w:pPr>
          <w:r w:rsidRPr="009A48DD">
            <w:rPr>
              <w:rStyle w:val="PlaceholderText"/>
              <w:highlight w:val="yellow"/>
            </w:rPr>
            <w:t>young person</w:t>
          </w:r>
        </w:p>
      </w:docPartBody>
    </w:docPart>
    <w:docPart>
      <w:docPartPr>
        <w:name w:val="551442BAE1F34DF8841A7A5C4035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69AF-3222-4C25-B097-649855885D4A}"/>
      </w:docPartPr>
      <w:docPartBody>
        <w:p w:rsidR="004F53E4" w:rsidRDefault="004F53E4" w:rsidP="004F53E4">
          <w:pPr>
            <w:pStyle w:val="551442BAE1F34DF8841A7A5C403598313"/>
          </w:pPr>
          <w:r w:rsidRPr="009A48DD">
            <w:rPr>
              <w:rStyle w:val="PlaceholderText"/>
              <w:highlight w:val="yellow"/>
            </w:rPr>
            <w:t>young person</w:t>
          </w:r>
        </w:p>
      </w:docPartBody>
    </w:docPart>
    <w:docPart>
      <w:docPartPr>
        <w:name w:val="68233C7B0B5141F3AE3128C6DAF8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E85C-954A-425F-9D54-99F62649BBBD}"/>
      </w:docPartPr>
      <w:docPartBody>
        <w:p w:rsidR="004F53E4" w:rsidRDefault="004F53E4" w:rsidP="004F53E4">
          <w:pPr>
            <w:pStyle w:val="68233C7B0B5141F3AE3128C6DAF87F562"/>
          </w:pPr>
          <w:r w:rsidRPr="00B87BB8">
            <w:rPr>
              <w:rStyle w:val="PlaceholderText"/>
              <w:highlight w:val="cyan"/>
            </w:rPr>
            <w:t>length of the school’s statement</w:t>
          </w:r>
        </w:p>
      </w:docPartBody>
    </w:docPart>
    <w:docPart>
      <w:docPartPr>
        <w:name w:val="42665A05CB0D4EB9AB7A652A6120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BE7B-9A5B-4275-A84B-4F427EB5EBBD}"/>
      </w:docPartPr>
      <w:docPartBody>
        <w:p w:rsidR="004F53E4" w:rsidRDefault="004F53E4" w:rsidP="004F53E4">
          <w:pPr>
            <w:pStyle w:val="42665A05CB0D4EB9AB7A652A612012AE1"/>
          </w:pPr>
          <w:r w:rsidRPr="00B87BB8">
            <w:rPr>
              <w:rStyle w:val="PlaceholderText"/>
              <w:highlight w:val="cyan"/>
            </w:rPr>
            <w:t>young person</w:t>
          </w:r>
        </w:p>
      </w:docPartBody>
    </w:docPart>
    <w:docPart>
      <w:docPartPr>
        <w:name w:val="7353CAAB800F496AA1585229811C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23D4-7CE2-4CCF-8F1D-647B023A5E91}"/>
      </w:docPartPr>
      <w:docPartBody>
        <w:p w:rsidR="004F53E4" w:rsidRDefault="004F53E4" w:rsidP="004F53E4">
          <w:pPr>
            <w:pStyle w:val="7353CAAB800F496AA1585229811C38A21"/>
          </w:pPr>
          <w:r w:rsidRPr="00B87BB8">
            <w:rPr>
              <w:rStyle w:val="PlaceholderText"/>
              <w:highlight w:val="cyan"/>
            </w:rPr>
            <w:t>young person</w:t>
          </w:r>
        </w:p>
      </w:docPartBody>
    </w:docPart>
    <w:docPart>
      <w:docPartPr>
        <w:name w:val="468BC0A1B5104484BFDEB28669C5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1D0F-C6B6-4C04-8AAC-3B43681771DE}"/>
      </w:docPartPr>
      <w:docPartBody>
        <w:p w:rsidR="00DF13A5" w:rsidRDefault="004F53E4" w:rsidP="004F53E4">
          <w:pPr>
            <w:pStyle w:val="468BC0A1B5104484BFDEB28669C5E4CE"/>
          </w:pPr>
          <w:r>
            <w:rPr>
              <w:rStyle w:val="PlaceholderText"/>
            </w:rPr>
            <w:t>were allowed less time to speak/were not able to speak without interruption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F"/>
    <w:rsid w:val="000B6CDF"/>
    <w:rsid w:val="001C5511"/>
    <w:rsid w:val="0020583A"/>
    <w:rsid w:val="003601CF"/>
    <w:rsid w:val="004F53E4"/>
    <w:rsid w:val="005D21BD"/>
    <w:rsid w:val="00617F20"/>
    <w:rsid w:val="008A5D08"/>
    <w:rsid w:val="00CC42EF"/>
    <w:rsid w:val="00D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3E4"/>
    <w:rPr>
      <w:color w:val="808080"/>
    </w:rPr>
  </w:style>
  <w:style w:type="paragraph" w:customStyle="1" w:styleId="E1D45DE56D334D9A855874A4856845D429">
    <w:name w:val="E1D45DE56D334D9A855874A4856845D429"/>
    <w:rsid w:val="004F53E4"/>
    <w:rPr>
      <w:rFonts w:eastAsiaTheme="minorHAnsi"/>
      <w:lang w:eastAsia="en-US"/>
    </w:rPr>
  </w:style>
  <w:style w:type="paragraph" w:customStyle="1" w:styleId="7EA686712D9143D58F7883F10A445D863">
    <w:name w:val="7EA686712D9143D58F7883F10A445D863"/>
    <w:rsid w:val="004F53E4"/>
    <w:rPr>
      <w:rFonts w:eastAsiaTheme="minorHAnsi"/>
      <w:lang w:eastAsia="en-US"/>
    </w:rPr>
  </w:style>
  <w:style w:type="paragraph" w:customStyle="1" w:styleId="EBB6CA1EB6444EB7A7A18F18E9AA1B703">
    <w:name w:val="EBB6CA1EB6444EB7A7A18F18E9AA1B703"/>
    <w:rsid w:val="004F53E4"/>
    <w:rPr>
      <w:rFonts w:eastAsiaTheme="minorHAnsi"/>
      <w:lang w:eastAsia="en-US"/>
    </w:rPr>
  </w:style>
  <w:style w:type="paragraph" w:customStyle="1" w:styleId="551442BAE1F34DF8841A7A5C403598313">
    <w:name w:val="551442BAE1F34DF8841A7A5C403598313"/>
    <w:rsid w:val="004F53E4"/>
    <w:rPr>
      <w:rFonts w:eastAsiaTheme="minorHAnsi"/>
      <w:lang w:eastAsia="en-US"/>
    </w:rPr>
  </w:style>
  <w:style w:type="paragraph" w:customStyle="1" w:styleId="68233C7B0B5141F3AE3128C6DAF87F562">
    <w:name w:val="68233C7B0B5141F3AE3128C6DAF87F562"/>
    <w:rsid w:val="004F53E4"/>
    <w:rPr>
      <w:rFonts w:eastAsiaTheme="minorHAnsi"/>
      <w:lang w:eastAsia="en-US"/>
    </w:rPr>
  </w:style>
  <w:style w:type="paragraph" w:customStyle="1" w:styleId="468BC0A1B5104484BFDEB28669C5E4CE">
    <w:name w:val="468BC0A1B5104484BFDEB28669C5E4CE"/>
    <w:rsid w:val="004F53E4"/>
    <w:rPr>
      <w:rFonts w:eastAsiaTheme="minorHAnsi"/>
      <w:lang w:eastAsia="en-US"/>
    </w:rPr>
  </w:style>
  <w:style w:type="paragraph" w:customStyle="1" w:styleId="42665A05CB0D4EB9AB7A652A612012AE1">
    <w:name w:val="42665A05CB0D4EB9AB7A652A612012AE1"/>
    <w:rsid w:val="004F53E4"/>
    <w:rPr>
      <w:rFonts w:eastAsiaTheme="minorHAnsi"/>
      <w:lang w:eastAsia="en-US"/>
    </w:rPr>
  </w:style>
  <w:style w:type="paragraph" w:customStyle="1" w:styleId="7353CAAB800F496AA1585229811C38A21">
    <w:name w:val="7353CAAB800F496AA1585229811C38A21"/>
    <w:rsid w:val="004F53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B6DB-A8FD-4977-87F9-4577D2135BC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554fe33-5816-4870-ab47-f9a496f915ce"/>
    <ds:schemaRef ds:uri="http://schemas.openxmlformats.org/package/2006/metadata/core-properties"/>
    <ds:schemaRef ds:uri="5dc85680-9dee-483c-8a66-46c4f12a1c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1548E-CE20-4C40-961A-8487006A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2023-01-03T15:36:00Z</dcterms:created>
  <dcterms:modified xsi:type="dcterms:W3CDTF">2023-01-03T15:36:00Z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a288e519-621d-4fe3-9067-f1e9b614b4a6</vt:lpwstr>
  </property>
  <property fmtid="{D5CDD505-2E9C-101B-9397-08002B2CF9AE}" pid="4" name="MediaServiceImageTags">
    <vt:lpwstr/>
  </property>
  <property fmtid="{D5CDD505-2E9C-101B-9397-08002B2CF9AE}" pid="5" name="Client">
    <vt:lpwstr>0139841</vt:lpwstr>
  </property>
  <property fmtid="{D5CDD505-2E9C-101B-9397-08002B2CF9AE}" pid="6" name="Matter">
    <vt:lpwstr>0000001</vt:lpwstr>
  </property>
  <property fmtid="{D5CDD505-2E9C-101B-9397-08002B2CF9AE}" pid="7" name="cpDocRef">
    <vt:lpwstr>UKO4: 2003451717.1</vt:lpwstr>
  </property>
  <property fmtid="{D5CDD505-2E9C-101B-9397-08002B2CF9AE}" pid="8" name="cpClientMatter">
    <vt:lpwstr>0139841-0000001</vt:lpwstr>
  </property>
  <property fmtid="{D5CDD505-2E9C-101B-9397-08002B2CF9AE}" pid="9" name="cpCombinedRef">
    <vt:lpwstr>0139841-0000001 UKO4: 2003451717.1</vt:lpwstr>
  </property>
  <property fmtid="{D5CDD505-2E9C-101B-9397-08002B2CF9AE}" pid="10" name="MSIP_Label_db29ffb5-fac7-492e-bc47-654ace2e7e8f_Enabled">
    <vt:lpwstr>true</vt:lpwstr>
  </property>
  <property fmtid="{D5CDD505-2E9C-101B-9397-08002B2CF9AE}" pid="11" name="MSIP_Label_db29ffb5-fac7-492e-bc47-654ace2e7e8f_SetDate">
    <vt:lpwstr>2022-08-30T21:12:32Z</vt:lpwstr>
  </property>
  <property fmtid="{D5CDD505-2E9C-101B-9397-08002B2CF9AE}" pid="12" name="MSIP_Label_db29ffb5-fac7-492e-bc47-654ace2e7e8f_Method">
    <vt:lpwstr>Privileged</vt:lpwstr>
  </property>
  <property fmtid="{D5CDD505-2E9C-101B-9397-08002B2CF9AE}" pid="13" name="MSIP_Label_db29ffb5-fac7-492e-bc47-654ace2e7e8f_Name">
    <vt:lpwstr>db29ffb5-fac7-492e-bc47-654ace2e7e8f</vt:lpwstr>
  </property>
  <property fmtid="{D5CDD505-2E9C-101B-9397-08002B2CF9AE}" pid="14" name="MSIP_Label_db29ffb5-fac7-492e-bc47-654ace2e7e8f_SiteId">
    <vt:lpwstr>7f0b44d2-04f8-4672-bf5d-4676796468a3</vt:lpwstr>
  </property>
  <property fmtid="{D5CDD505-2E9C-101B-9397-08002B2CF9AE}" pid="15" name="MSIP_Label_db29ffb5-fac7-492e-bc47-654ace2e7e8f_ActionId">
    <vt:lpwstr>b3cf6e81-06e7-436a-957b-6be950f8d65f</vt:lpwstr>
  </property>
  <property fmtid="{D5CDD505-2E9C-101B-9397-08002B2CF9AE}" pid="16" name="MSIP_Label_db29ffb5-fac7-492e-bc47-654ace2e7e8f_ContentBits">
    <vt:lpwstr>0</vt:lpwstr>
  </property>
</Properties>
</file>